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bookmarkStart w:id="0" w:name="_GoBack"/>
            <w:bookmarkEnd w:id="0"/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F33C3D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F33C3D">
              <w:rPr>
                <w:rFonts w:cs="Arial"/>
                <w:szCs w:val="20"/>
              </w:rPr>
              <w:t>2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E37716" w:rsidRPr="00FC10A8" w:rsidRDefault="00E37716">
            <w:pPr>
              <w:pStyle w:val="Balk1"/>
              <w:spacing w:before="40"/>
              <w:jc w:val="left"/>
              <w:rPr>
                <w:sz w:val="20"/>
                <w:szCs w:val="20"/>
              </w:rPr>
            </w:pPr>
            <w:r w:rsidRPr="00FC10A8">
              <w:rPr>
                <w:sz w:val="20"/>
                <w:szCs w:val="20"/>
              </w:rPr>
              <w:t>TADİL TASARISI</w:t>
            </w:r>
          </w:p>
          <w:p w:rsidR="00E37716" w:rsidRPr="00E37716" w:rsidRDefault="00E37716" w:rsidP="0021617A">
            <w:pP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r w:rsidRPr="00FC10A8">
              <w:rPr>
                <w:rFonts w:cs="Arial"/>
                <w:i/>
                <w:iCs/>
                <w:szCs w:val="20"/>
              </w:rPr>
              <w:t>DRAFT AMENDMENT</w:t>
            </w:r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 w:rsidP="009B6C9E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B5315A" w:rsidRPr="00026DCA">
              <w:rPr>
                <w:rFonts w:cs="Arial"/>
                <w:i w:val="0"/>
                <w:iCs w:val="0"/>
                <w:sz w:val="32"/>
                <w:szCs w:val="32"/>
              </w:rPr>
              <w:t>2176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E37716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 </w:t>
            </w:r>
            <w:r w:rsidR="00F87F3B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366D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</w:t>
            </w:r>
            <w:r w:rsidR="00B5315A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E37716" w:rsidP="008A2531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5A2503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5A2503">
              <w:rPr>
                <w:rFonts w:cs="Arial"/>
                <w:sz w:val="32"/>
                <w:szCs w:val="32"/>
                <w:lang w:val="tr-TR"/>
              </w:rPr>
              <w:t>2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.100</w:t>
      </w:r>
      <w:r w:rsidR="00A81DF6">
        <w:rPr>
          <w:rFonts w:cs="Arial"/>
          <w:sz w:val="24"/>
        </w:rPr>
        <w:t>.30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Pr="00D364CB" w:rsidRDefault="009B6C9E" w:rsidP="009B6C9E">
      <w:pPr>
        <w:rPr>
          <w:rFonts w:cs="Arial"/>
          <w:sz w:val="16"/>
          <w:szCs w:val="16"/>
        </w:rPr>
      </w:pPr>
    </w:p>
    <w:p w:rsidR="0021617A" w:rsidRPr="00D364CB" w:rsidRDefault="0021617A" w:rsidP="0021617A">
      <w:pPr>
        <w:rPr>
          <w:rFonts w:cs="Arial"/>
          <w:sz w:val="16"/>
          <w:szCs w:val="16"/>
        </w:rPr>
      </w:pPr>
    </w:p>
    <w:p w:rsidR="00011B2F" w:rsidRDefault="00011B2F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5C1EE5" w:rsidRPr="005C1EE5" w:rsidRDefault="00B5315A" w:rsidP="005C1E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Eritme</w:t>
            </w:r>
            <w:r w:rsidR="00026DCA">
              <w:rPr>
                <w:b/>
                <w:sz w:val="28"/>
                <w:szCs w:val="28"/>
              </w:rPr>
              <w:t xml:space="preserve"> p</w:t>
            </w:r>
            <w:r w:rsidR="00366DE6">
              <w:rPr>
                <w:b/>
                <w:sz w:val="28"/>
                <w:szCs w:val="28"/>
              </w:rPr>
              <w:t>eynir</w:t>
            </w:r>
          </w:p>
          <w:p w:rsidR="009F6C34" w:rsidRPr="00111ECA" w:rsidRDefault="009F6C34" w:rsidP="005C1EE5">
            <w:pPr>
              <w:jc w:val="center"/>
              <w:rPr>
                <w:b/>
                <w:sz w:val="28"/>
              </w:rPr>
            </w:pPr>
          </w:p>
        </w:tc>
      </w:tr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B9763F" w:rsidRPr="00026DCA" w:rsidRDefault="00B5315A" w:rsidP="00111ECA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026DCA">
              <w:rPr>
                <w:rFonts w:cs="Arial"/>
                <w:bCs/>
                <w:sz w:val="28"/>
                <w:szCs w:val="28"/>
              </w:rPr>
              <w:t>Processed</w:t>
            </w:r>
            <w:r w:rsidR="00366DE6" w:rsidRPr="00026DCA">
              <w:rPr>
                <w:rFonts w:cs="Arial"/>
                <w:bCs/>
                <w:sz w:val="28"/>
                <w:szCs w:val="28"/>
              </w:rPr>
              <w:t xml:space="preserve"> </w:t>
            </w:r>
            <w:r w:rsidR="00026DCA">
              <w:rPr>
                <w:rFonts w:cs="Arial"/>
                <w:bCs/>
                <w:sz w:val="28"/>
                <w:szCs w:val="28"/>
              </w:rPr>
              <w:t>c</w:t>
            </w:r>
            <w:r w:rsidR="00366DE6" w:rsidRPr="00026DCA">
              <w:rPr>
                <w:rFonts w:cs="Arial"/>
                <w:bCs/>
                <w:sz w:val="28"/>
                <w:szCs w:val="28"/>
              </w:rPr>
              <w:t>heese</w:t>
            </w:r>
          </w:p>
          <w:p w:rsidR="0021617A" w:rsidRPr="00111ECA" w:rsidRDefault="0021617A" w:rsidP="00111ECA">
            <w:pPr>
              <w:jc w:val="center"/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3A0AD4" w:rsidRDefault="003A0AD4">
      <w:pPr>
        <w:jc w:val="left"/>
        <w:rPr>
          <w:sz w:val="16"/>
          <w:szCs w:val="16"/>
        </w:rPr>
      </w:pPr>
    </w:p>
    <w:p w:rsidR="00B9763F" w:rsidRDefault="00B9763F" w:rsidP="006669A8">
      <w:pPr>
        <w:tabs>
          <w:tab w:val="left" w:pos="0"/>
        </w:tabs>
        <w:rPr>
          <w:sz w:val="16"/>
          <w:szCs w:val="16"/>
        </w:rPr>
      </w:pPr>
    </w:p>
    <w:p w:rsidR="009D346D" w:rsidRPr="00E37716" w:rsidRDefault="009D346D" w:rsidP="00E37716">
      <w:pPr>
        <w:pStyle w:val="ListeParagraf"/>
        <w:keepNext/>
        <w:numPr>
          <w:ilvl w:val="0"/>
          <w:numId w:val="6"/>
        </w:numPr>
        <w:tabs>
          <w:tab w:val="left" w:pos="0"/>
        </w:tabs>
        <w:ind w:left="284" w:hanging="284"/>
        <w:outlineLvl w:val="0"/>
        <w:rPr>
          <w:rFonts w:cs="Arial"/>
          <w:bCs/>
          <w:color w:val="000000"/>
          <w:kern w:val="28"/>
          <w:szCs w:val="20"/>
          <w:lang w:val="de-DE"/>
        </w:rPr>
      </w:pPr>
      <w:r w:rsidRPr="00E37716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Madde 2 Atıf yapılan standard ve/veya dokümanlar listesinden aşağıdaki standard çıkarılmıştır.</w:t>
      </w:r>
    </w:p>
    <w:tbl>
      <w:tblPr>
        <w:tblW w:w="96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4096"/>
        <w:gridCol w:w="4097"/>
      </w:tblGrid>
      <w:tr w:rsidR="009D346D" w:rsidRPr="009D346D" w:rsidTr="0019389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6D" w:rsidRPr="009D346D" w:rsidRDefault="009D346D" w:rsidP="009D346D">
            <w:pPr>
              <w:jc w:val="center"/>
              <w:rPr>
                <w:rFonts w:cs="Arial"/>
                <w:b/>
                <w:szCs w:val="20"/>
              </w:rPr>
            </w:pPr>
            <w:r w:rsidRPr="009D346D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6D" w:rsidRPr="002A5EF5" w:rsidRDefault="009D346D" w:rsidP="009D346D">
            <w:pPr>
              <w:widowControl w:val="0"/>
              <w:jc w:val="center"/>
              <w:rPr>
                <w:rFonts w:cs="Arial"/>
                <w:b/>
                <w:bCs/>
                <w:noProof w:val="0"/>
                <w:szCs w:val="20"/>
                <w:lang w:eastAsia="en-US"/>
              </w:rPr>
            </w:pPr>
            <w:r w:rsidRPr="002A5EF5">
              <w:rPr>
                <w:rFonts w:cs="Arial"/>
                <w:b/>
                <w:bCs/>
                <w:noProof w:val="0"/>
                <w:szCs w:val="20"/>
                <w:lang w:eastAsia="en-US"/>
              </w:rPr>
              <w:t>Türkçe adı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6D" w:rsidRPr="002A5EF5" w:rsidRDefault="009D346D" w:rsidP="009D346D">
            <w:pPr>
              <w:widowControl w:val="0"/>
              <w:jc w:val="center"/>
              <w:rPr>
                <w:rFonts w:cs="Arial"/>
                <w:b/>
                <w:bCs/>
                <w:noProof w:val="0"/>
                <w:szCs w:val="20"/>
                <w:lang w:eastAsia="en-US"/>
              </w:rPr>
            </w:pPr>
            <w:r w:rsidRPr="002A5EF5">
              <w:rPr>
                <w:rFonts w:cs="Arial"/>
                <w:b/>
                <w:bCs/>
                <w:noProof w:val="0"/>
                <w:szCs w:val="20"/>
                <w:lang w:eastAsia="en-US"/>
              </w:rPr>
              <w:t>İngilizce adı</w:t>
            </w:r>
          </w:p>
        </w:tc>
      </w:tr>
      <w:tr w:rsidR="00582DA8" w:rsidRPr="009D346D" w:rsidTr="00193892">
        <w:trPr>
          <w:trHeight w:val="284"/>
        </w:trPr>
        <w:tc>
          <w:tcPr>
            <w:tcW w:w="1418" w:type="dxa"/>
          </w:tcPr>
          <w:p w:rsidR="00582DA8" w:rsidRPr="009D346D" w:rsidRDefault="00582DA8" w:rsidP="006C0C11">
            <w:pPr>
              <w:jc w:val="left"/>
              <w:rPr>
                <w:rFonts w:cs="Arial"/>
                <w:szCs w:val="20"/>
              </w:rPr>
            </w:pPr>
            <w:r w:rsidRPr="004F04CC">
              <w:t>TS 7703 EN ISO 483</w:t>
            </w:r>
            <w:r>
              <w:t>3</w:t>
            </w:r>
          </w:p>
        </w:tc>
        <w:tc>
          <w:tcPr>
            <w:tcW w:w="4096" w:type="dxa"/>
          </w:tcPr>
          <w:p w:rsidR="00582DA8" w:rsidRPr="009D346D" w:rsidRDefault="00582DA8" w:rsidP="006C0C11">
            <w:pPr>
              <w:jc w:val="left"/>
              <w:rPr>
                <w:rFonts w:cs="Arial"/>
                <w:szCs w:val="20"/>
              </w:rPr>
            </w:pPr>
            <w:r w:rsidRPr="004F04CC">
              <w:t>Mikrobiyoloji - Gıda ve hayvan yemleri – Mikroorganizmaların sayımı için yatay yöntem – 30°C’ta koloni sayım tekniği</w:t>
            </w:r>
          </w:p>
        </w:tc>
        <w:tc>
          <w:tcPr>
            <w:tcW w:w="4097" w:type="dxa"/>
          </w:tcPr>
          <w:p w:rsidR="00582DA8" w:rsidRPr="00C8127A" w:rsidRDefault="00582DA8" w:rsidP="006C0C11">
            <w:pPr>
              <w:jc w:val="left"/>
              <w:rPr>
                <w:rFonts w:cs="Arial"/>
                <w:szCs w:val="20"/>
              </w:rPr>
            </w:pPr>
            <w:r w:rsidRPr="004F04CC">
              <w:t>Microbiology</w:t>
            </w:r>
            <w:r>
              <w:t xml:space="preserve"> </w:t>
            </w:r>
            <w:r w:rsidRPr="004F04CC">
              <w:t>-</w:t>
            </w:r>
            <w:r>
              <w:t xml:space="preserve"> </w:t>
            </w:r>
            <w:r w:rsidRPr="004F04CC">
              <w:t xml:space="preserve">General </w:t>
            </w:r>
            <w:r>
              <w:t>g</w:t>
            </w:r>
            <w:r w:rsidRPr="004F04CC">
              <w:t xml:space="preserve">uidance for the </w:t>
            </w:r>
            <w:r>
              <w:t>e</w:t>
            </w:r>
            <w:r w:rsidRPr="004F04CC">
              <w:t xml:space="preserve">numeration of </w:t>
            </w:r>
            <w:r>
              <w:t>m</w:t>
            </w:r>
            <w:r w:rsidRPr="004F04CC">
              <w:t>icroorganisms</w:t>
            </w:r>
            <w:r>
              <w:t xml:space="preserve"> </w:t>
            </w:r>
            <w:r w:rsidRPr="004F04CC">
              <w:t>-</w:t>
            </w:r>
            <w:r>
              <w:t xml:space="preserve"> </w:t>
            </w:r>
            <w:r w:rsidRPr="004F04CC">
              <w:t xml:space="preserve">Colony </w:t>
            </w:r>
            <w:r>
              <w:t>c</w:t>
            </w:r>
            <w:r w:rsidRPr="004F04CC">
              <w:t xml:space="preserve">ount </w:t>
            </w:r>
            <w:r>
              <w:t>t</w:t>
            </w:r>
            <w:r w:rsidRPr="004F04CC">
              <w:t xml:space="preserve">echnique at </w:t>
            </w:r>
            <w:smartTag w:uri="urn:schemas-microsoft-com:office:smarttags" w:element="metricconverter">
              <w:smartTagPr>
                <w:attr w:name="ProductID" w:val="30 ﾰC"/>
              </w:smartTagPr>
              <w:r w:rsidRPr="004F04CC">
                <w:t>30 °C</w:t>
              </w:r>
            </w:smartTag>
            <w:r w:rsidRPr="004F04CC">
              <w:t>.</w:t>
            </w:r>
          </w:p>
        </w:tc>
      </w:tr>
    </w:tbl>
    <w:p w:rsidR="009D346D" w:rsidRDefault="009D346D" w:rsidP="006669A8">
      <w:pPr>
        <w:tabs>
          <w:tab w:val="left" w:pos="0"/>
        </w:tabs>
        <w:rPr>
          <w:sz w:val="16"/>
          <w:szCs w:val="16"/>
        </w:rPr>
      </w:pPr>
    </w:p>
    <w:p w:rsidR="00755285" w:rsidRPr="009C4C1C" w:rsidRDefault="00755285" w:rsidP="006669A8">
      <w:pPr>
        <w:tabs>
          <w:tab w:val="left" w:pos="0"/>
        </w:tabs>
        <w:rPr>
          <w:sz w:val="16"/>
          <w:szCs w:val="16"/>
        </w:rPr>
      </w:pPr>
    </w:p>
    <w:p w:rsidR="00A81DF6" w:rsidRPr="00026DCA" w:rsidRDefault="00304F4A" w:rsidP="002A5EF5">
      <w:pPr>
        <w:pStyle w:val="Balk1"/>
        <w:tabs>
          <w:tab w:val="left" w:pos="709"/>
        </w:tabs>
        <w:spacing w:line="480" w:lineRule="auto"/>
        <w:rPr>
          <w:color w:val="000000"/>
          <w:sz w:val="20"/>
          <w:szCs w:val="20"/>
          <w:lang w:val="de-DE"/>
        </w:rPr>
      </w:pPr>
      <w:r>
        <w:rPr>
          <w:b w:val="0"/>
          <w:color w:val="000000"/>
          <w:sz w:val="20"/>
          <w:szCs w:val="20"/>
          <w:lang w:val="de-DE"/>
        </w:rPr>
        <w:t xml:space="preserve">- </w:t>
      </w:r>
      <w:r w:rsidR="00A81DF6" w:rsidRPr="002A5EF5">
        <w:rPr>
          <w:b w:val="0"/>
          <w:color w:val="000000"/>
          <w:sz w:val="20"/>
          <w:szCs w:val="20"/>
          <w:lang w:val="de-DE"/>
        </w:rPr>
        <w:t xml:space="preserve">Çizelge </w:t>
      </w:r>
      <w:r w:rsidR="00BC41E3" w:rsidRPr="002A5EF5">
        <w:rPr>
          <w:b w:val="0"/>
          <w:color w:val="000000"/>
          <w:sz w:val="20"/>
          <w:szCs w:val="20"/>
          <w:lang w:val="de-DE"/>
        </w:rPr>
        <w:t>2</w:t>
      </w:r>
      <w:r w:rsidR="00755285" w:rsidRPr="006A42E2">
        <w:rPr>
          <w:color w:val="000000"/>
          <w:sz w:val="20"/>
          <w:szCs w:val="20"/>
          <w:lang w:val="de-DE"/>
        </w:rPr>
        <w:t>’</w:t>
      </w:r>
      <w:r w:rsidR="00755285" w:rsidRPr="002A5EF5">
        <w:rPr>
          <w:b w:val="0"/>
          <w:color w:val="000000"/>
          <w:sz w:val="20"/>
          <w:szCs w:val="20"/>
          <w:lang w:val="de-DE"/>
        </w:rPr>
        <w:t>de bulunan</w:t>
      </w:r>
      <w:r w:rsidR="00A81DF6" w:rsidRPr="00F04158">
        <w:rPr>
          <w:b w:val="0"/>
          <w:color w:val="000000"/>
          <w:sz w:val="20"/>
          <w:szCs w:val="20"/>
          <w:lang w:val="de-DE"/>
        </w:rPr>
        <w:t xml:space="preserve"> </w:t>
      </w:r>
      <w:r w:rsidR="00755285">
        <w:rPr>
          <w:b w:val="0"/>
          <w:color w:val="000000"/>
          <w:sz w:val="20"/>
          <w:szCs w:val="20"/>
          <w:lang w:val="de-DE"/>
        </w:rPr>
        <w:t>“</w:t>
      </w:r>
      <w:r w:rsidR="00755285" w:rsidRPr="002A5EF5">
        <w:rPr>
          <w:b w:val="0"/>
          <w:color w:val="000000"/>
          <w:sz w:val="20"/>
          <w:szCs w:val="20"/>
          <w:lang w:val="de-DE"/>
        </w:rPr>
        <w:t>Benzoik</w:t>
      </w:r>
      <w:r w:rsidR="00755285">
        <w:rPr>
          <w:b w:val="0"/>
          <w:color w:val="000000"/>
          <w:sz w:val="20"/>
          <w:szCs w:val="20"/>
          <w:vertAlign w:val="superscript"/>
          <w:lang w:val="de-DE"/>
        </w:rPr>
        <w:t xml:space="preserve"> </w:t>
      </w:r>
      <w:r w:rsidR="00755285">
        <w:rPr>
          <w:b w:val="0"/>
          <w:color w:val="000000"/>
          <w:sz w:val="20"/>
          <w:szCs w:val="20"/>
          <w:lang w:val="de-DE"/>
        </w:rPr>
        <w:t xml:space="preserve">asit“ satırı çıkarılmıştır. </w:t>
      </w:r>
    </w:p>
    <w:p w:rsidR="00961713" w:rsidRPr="002A5EF5" w:rsidRDefault="00304F4A" w:rsidP="002A5EF5">
      <w:pPr>
        <w:rPr>
          <w:lang w:val="de-DE"/>
        </w:rPr>
      </w:pPr>
      <w:r>
        <w:rPr>
          <w:rFonts w:eastAsia="Calibri" w:cs="Arial"/>
          <w:bCs/>
          <w:color w:val="000000"/>
          <w:kern w:val="28"/>
          <w:szCs w:val="20"/>
          <w:lang w:val="de-DE"/>
        </w:rPr>
        <w:t xml:space="preserve">- </w:t>
      </w:r>
      <w:r w:rsidR="00961713" w:rsidRPr="002A5EF5">
        <w:rPr>
          <w:lang w:val="de-DE"/>
        </w:rPr>
        <w:t>Çizelge 5</w:t>
      </w:r>
      <w:r w:rsidR="00755285" w:rsidRPr="002A5EF5">
        <w:rPr>
          <w:lang w:val="de-DE"/>
        </w:rPr>
        <w:t>’de bulunan “Stafilokokal enterotoksinler</w:t>
      </w:r>
      <w:r w:rsidR="00E37716">
        <w:rPr>
          <w:lang w:val="de-DE"/>
        </w:rPr>
        <w:t>“</w:t>
      </w:r>
      <w:r w:rsidR="00755285" w:rsidRPr="002A5EF5">
        <w:rPr>
          <w:lang w:val="de-DE"/>
        </w:rPr>
        <w:t xml:space="preserve"> satırı çıkarılmıştır. </w:t>
      </w:r>
      <w:r w:rsidR="00961713" w:rsidRPr="002A5EF5">
        <w:rPr>
          <w:lang w:val="de-DE"/>
        </w:rPr>
        <w:t xml:space="preserve"> </w:t>
      </w:r>
    </w:p>
    <w:p w:rsidR="00304F4A" w:rsidRDefault="00304F4A">
      <w:pPr>
        <w:jc w:val="left"/>
        <w:rPr>
          <w:b/>
          <w:noProof w:val="0"/>
          <w:lang w:eastAsia="en-US"/>
        </w:rPr>
      </w:pPr>
    </w:p>
    <w:p w:rsidR="00304F4A" w:rsidRPr="00E37716" w:rsidRDefault="00304F4A" w:rsidP="002A5EF5">
      <w:pPr>
        <w:rPr>
          <w:rFonts w:cs="Arial"/>
          <w:bCs/>
          <w:color w:val="000000"/>
          <w:kern w:val="28"/>
          <w:szCs w:val="20"/>
          <w:lang w:val="de-DE"/>
        </w:rPr>
      </w:pPr>
      <w:r w:rsidRPr="00E37716">
        <w:rPr>
          <w:rFonts w:cs="Arial"/>
          <w:bCs/>
          <w:color w:val="000000"/>
          <w:kern w:val="28"/>
          <w:szCs w:val="20"/>
          <w:lang w:val="de-DE"/>
        </w:rPr>
        <w:t>- Çizelge 6 aşağıdaki şekilde değiştirilmiştir:</w:t>
      </w:r>
    </w:p>
    <w:p w:rsidR="00304F4A" w:rsidRPr="002A5EF5" w:rsidRDefault="00304F4A" w:rsidP="002A5EF5">
      <w:pPr>
        <w:rPr>
          <w:rFonts w:cs="Arial"/>
          <w:bCs/>
          <w:color w:val="000000"/>
          <w:kern w:val="28"/>
          <w:szCs w:val="20"/>
          <w:lang w:val="de-DE"/>
        </w:rPr>
      </w:pPr>
    </w:p>
    <w:p w:rsidR="00304F4A" w:rsidRDefault="00304F4A" w:rsidP="00304F4A">
      <w:pPr>
        <w:rPr>
          <w:rFonts w:cs="Arial"/>
        </w:rPr>
      </w:pPr>
      <w:r w:rsidRPr="003A0AD4">
        <w:rPr>
          <w:rFonts w:cs="Arial"/>
          <w:b/>
        </w:rPr>
        <w:lastRenderedPageBreak/>
        <w:t xml:space="preserve">Çizelge 6 – </w:t>
      </w:r>
      <w:r w:rsidRPr="000772B7">
        <w:rPr>
          <w:rFonts w:cs="Arial"/>
        </w:rPr>
        <w:t>Özellik, muayene ve deney madde numaraları</w:t>
      </w:r>
    </w:p>
    <w:p w:rsidR="00E37716" w:rsidRPr="003A0AD4" w:rsidRDefault="00E37716" w:rsidP="00304F4A">
      <w:pPr>
        <w:rPr>
          <w:rFonts w:cs="Arial"/>
          <w:b/>
        </w:rPr>
      </w:pPr>
    </w:p>
    <w:tbl>
      <w:tblPr>
        <w:tblW w:w="95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66"/>
        <w:gridCol w:w="2544"/>
        <w:gridCol w:w="2822"/>
      </w:tblGrid>
      <w:tr w:rsidR="00304F4A" w:rsidRPr="00E20A88" w:rsidTr="001A5BE6">
        <w:trPr>
          <w:trHeight w:hRule="exact" w:val="518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Özellik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Özellik 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m</w:t>
            </w:r>
            <w:r w:rsidRPr="00E20A88">
              <w:rPr>
                <w:noProof w:val="0"/>
                <w:lang w:eastAsia="en-US"/>
              </w:rPr>
              <w:t xml:space="preserve">adde </w:t>
            </w:r>
            <w:r>
              <w:rPr>
                <w:noProof w:val="0"/>
                <w:lang w:eastAsia="en-US"/>
              </w:rPr>
              <w:t>n</w:t>
            </w:r>
            <w:r w:rsidRPr="00E20A88">
              <w:rPr>
                <w:noProof w:val="0"/>
                <w:lang w:eastAsia="en-US"/>
              </w:rPr>
              <w:t>o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Muayene ve deney 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m</w:t>
            </w:r>
            <w:r w:rsidRPr="00E20A88">
              <w:rPr>
                <w:noProof w:val="0"/>
                <w:lang w:eastAsia="en-US"/>
              </w:rPr>
              <w:t xml:space="preserve">adde </w:t>
            </w:r>
            <w:r>
              <w:rPr>
                <w:noProof w:val="0"/>
                <w:lang w:eastAsia="en-US"/>
              </w:rPr>
              <w:t>n</w:t>
            </w:r>
            <w:r w:rsidRPr="00E20A88">
              <w:rPr>
                <w:noProof w:val="0"/>
                <w:lang w:eastAsia="en-US"/>
              </w:rPr>
              <w:t>o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</w:p>
        </w:tc>
      </w:tr>
      <w:tr w:rsidR="00304F4A" w:rsidRPr="00E20A88" w:rsidTr="001A5BE6">
        <w:trPr>
          <w:trHeight w:hRule="exact" w:val="259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Duyusal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4.2.1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5.2.2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Rutubet 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4.2.2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5.3.2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Tuz 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4.2.2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5.3.4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pH 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4.2.2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5.3.5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Yağ 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4.2.3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5.3.3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 xml:space="preserve">Çeşni maddesi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5.3.6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3A0AD4" w:rsidRDefault="00304F4A" w:rsidP="001A5BE6">
            <w:pPr>
              <w:shd w:val="clear" w:color="auto" w:fill="FFFFFF"/>
              <w:tabs>
                <w:tab w:val="left" w:pos="180"/>
              </w:tabs>
              <w:rPr>
                <w:i/>
                <w:noProof w:val="0"/>
                <w:lang w:eastAsia="en-US"/>
              </w:rPr>
            </w:pPr>
            <w:r w:rsidRPr="003A0AD4">
              <w:rPr>
                <w:i/>
                <w:noProof w:val="0"/>
                <w:lang w:eastAsia="en-US"/>
              </w:rPr>
              <w:t>E.coli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5.3.</w:t>
            </w:r>
            <w:r>
              <w:rPr>
                <w:noProof w:val="0"/>
                <w:lang w:eastAsia="en-US"/>
              </w:rPr>
              <w:t>7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rFonts w:cs="Arial"/>
                <w:i/>
                <w:noProof w:val="0"/>
                <w:lang w:eastAsia="en-US"/>
              </w:rPr>
              <w:t>L. monocytogenes</w:t>
            </w:r>
            <w:r w:rsidRPr="00E20A88">
              <w:rPr>
                <w:rFonts w:cs="Arial"/>
                <w:noProof w:val="0"/>
                <w:lang w:eastAsia="en-US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4.2.5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5.3.</w:t>
            </w:r>
            <w:r>
              <w:rPr>
                <w:noProof w:val="0"/>
                <w:lang w:eastAsia="en-US"/>
              </w:rPr>
              <w:t>8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rFonts w:cs="Arial"/>
                <w:i/>
                <w:noProof w:val="0"/>
                <w:lang w:eastAsia="en-US"/>
              </w:rPr>
            </w:pPr>
            <w:r>
              <w:rPr>
                <w:rFonts w:cs="Arial"/>
                <w:i/>
                <w:noProof w:val="0"/>
                <w:lang w:eastAsia="en-US"/>
              </w:rPr>
              <w:t>Nişasta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5.3.9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6BA0" w:rsidRDefault="00304F4A" w:rsidP="001A5BE6">
            <w:pPr>
              <w:shd w:val="clear" w:color="auto" w:fill="FFFFFF"/>
              <w:tabs>
                <w:tab w:val="left" w:pos="180"/>
              </w:tabs>
              <w:rPr>
                <w:rFonts w:cs="Arial"/>
                <w:i/>
                <w:noProof w:val="0"/>
                <w:lang w:eastAsia="en-US"/>
              </w:rPr>
            </w:pPr>
            <w:r w:rsidRPr="001A5BE6">
              <w:rPr>
                <w:rFonts w:cs="Arial"/>
                <w:noProof w:val="0"/>
                <w:lang w:eastAsia="en-US"/>
              </w:rPr>
              <w:t>Aflatoksin</w:t>
            </w:r>
            <w:r w:rsidRPr="00E26BA0">
              <w:rPr>
                <w:rFonts w:cs="Arial"/>
                <w:i/>
                <w:noProof w:val="0"/>
                <w:lang w:eastAsia="en-US"/>
              </w:rPr>
              <w:t xml:space="preserve"> </w:t>
            </w:r>
            <w:r w:rsidRPr="003A0AD4">
              <w:rPr>
                <w:rFonts w:cs="Arial"/>
                <w:noProof w:val="0"/>
                <w:lang w:eastAsia="en-US"/>
              </w:rPr>
              <w:t>M1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5.3.10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3A0AD4" w:rsidRDefault="00304F4A" w:rsidP="001A5BE6">
            <w:pPr>
              <w:shd w:val="clear" w:color="auto" w:fill="FFFFFF"/>
              <w:tabs>
                <w:tab w:val="left" w:pos="180"/>
              </w:tabs>
              <w:rPr>
                <w:rFonts w:cs="Arial"/>
                <w:noProof w:val="0"/>
                <w:lang w:eastAsia="en-US"/>
              </w:rPr>
            </w:pPr>
            <w:r w:rsidRPr="003A0AD4">
              <w:rPr>
                <w:rFonts w:cs="Arial"/>
                <w:noProof w:val="0"/>
                <w:lang w:eastAsia="en-US"/>
              </w:rPr>
              <w:t xml:space="preserve">Yağ </w:t>
            </w:r>
            <w:r>
              <w:rPr>
                <w:rFonts w:cs="Arial"/>
                <w:noProof w:val="0"/>
                <w:lang w:eastAsia="en-US"/>
              </w:rPr>
              <w:t xml:space="preserve">cinsi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5.3.11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2F0F0E" w:rsidRDefault="00304F4A" w:rsidP="001A5BE6">
            <w:pPr>
              <w:shd w:val="clear" w:color="auto" w:fill="FFFFFF"/>
              <w:tabs>
                <w:tab w:val="left" w:pos="180"/>
              </w:tabs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Natamisin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5.3.12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tabs>
                <w:tab w:val="left" w:pos="0"/>
              </w:tabs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901B60">
              <w:rPr>
                <w:szCs w:val="20"/>
              </w:rPr>
              <w:t>orbik asit</w:t>
            </w:r>
          </w:p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rPr>
                <w:rFonts w:cs="Arial"/>
                <w:noProof w:val="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4.2.2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>
              <w:rPr>
                <w:noProof w:val="0"/>
                <w:lang w:eastAsia="en-US"/>
              </w:rPr>
              <w:t>5.3.1</w:t>
            </w:r>
            <w:r w:rsidR="00F33C3D">
              <w:rPr>
                <w:noProof w:val="0"/>
                <w:lang w:eastAsia="en-US"/>
              </w:rPr>
              <w:t>3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Ambalaj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6.1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5.2.1</w:t>
            </w:r>
          </w:p>
        </w:tc>
      </w:tr>
      <w:tr w:rsidR="00304F4A" w:rsidRPr="00E20A88" w:rsidTr="001A5BE6">
        <w:trPr>
          <w:trHeight w:hRule="exact" w:val="240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İşaretleme</w:t>
            </w: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</w:p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rPr>
                <w:noProof w:val="0"/>
                <w:lang w:eastAsia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6.2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A" w:rsidRPr="00E20A88" w:rsidRDefault="00304F4A" w:rsidP="001A5BE6">
            <w:pPr>
              <w:shd w:val="clear" w:color="auto" w:fill="FFFFFF"/>
              <w:tabs>
                <w:tab w:val="left" w:pos="180"/>
              </w:tabs>
              <w:jc w:val="center"/>
              <w:rPr>
                <w:noProof w:val="0"/>
                <w:lang w:eastAsia="en-US"/>
              </w:rPr>
            </w:pPr>
            <w:r w:rsidRPr="00E20A88">
              <w:rPr>
                <w:noProof w:val="0"/>
                <w:lang w:eastAsia="en-US"/>
              </w:rPr>
              <w:t>5.2.1</w:t>
            </w:r>
          </w:p>
        </w:tc>
      </w:tr>
    </w:tbl>
    <w:p w:rsidR="00304F4A" w:rsidRDefault="00304F4A" w:rsidP="00304F4A"/>
    <w:p w:rsidR="003A0AD4" w:rsidRDefault="003A0AD4">
      <w:pPr>
        <w:jc w:val="left"/>
        <w:rPr>
          <w:b/>
          <w:noProof w:val="0"/>
          <w:lang w:eastAsia="en-US"/>
        </w:rPr>
      </w:pPr>
      <w:r>
        <w:rPr>
          <w:b/>
          <w:noProof w:val="0"/>
          <w:lang w:eastAsia="en-US"/>
        </w:rPr>
        <w:br w:type="page"/>
      </w:r>
    </w:p>
    <w:p w:rsidR="003A0AD4" w:rsidRDefault="003A0AD4" w:rsidP="003A0AD4">
      <w:pPr>
        <w:jc w:val="right"/>
      </w:pPr>
      <w:r>
        <w:lastRenderedPageBreak/>
        <w:t>Sayfa 2/</w:t>
      </w:r>
      <w:r w:rsidR="00F33C3D">
        <w:t>2</w:t>
      </w:r>
    </w:p>
    <w:p w:rsidR="003A0AD4" w:rsidRDefault="003A0AD4" w:rsidP="003A0AD4">
      <w:pPr>
        <w:tabs>
          <w:tab w:val="right" w:pos="9639"/>
        </w:tabs>
      </w:pPr>
      <w:r>
        <w:t xml:space="preserve">ICS </w:t>
      </w:r>
      <w:r w:rsidR="00926EAA">
        <w:t>67.100.10</w:t>
      </w:r>
      <w:r w:rsidR="00926EAA">
        <w:tab/>
        <w:t>TS 2176:</w:t>
      </w:r>
      <w:r w:rsidR="00E37716">
        <w:t xml:space="preserve"> 2011/tst/</w:t>
      </w:r>
      <w:r w:rsidR="00F24D0F">
        <w:t>T2</w:t>
      </w:r>
      <w:r w:rsidR="00E37716">
        <w:t>:</w:t>
      </w:r>
    </w:p>
    <w:p w:rsidR="003A0AD4" w:rsidRDefault="003A0AD4" w:rsidP="003A0AD4">
      <w:pPr>
        <w:pBdr>
          <w:top w:val="single" w:sz="4" w:space="1" w:color="auto"/>
        </w:pBdr>
      </w:pPr>
    </w:p>
    <w:p w:rsidR="00741492" w:rsidRDefault="00741492" w:rsidP="00630783"/>
    <w:p w:rsidR="00F33C3D" w:rsidRDefault="00F33C3D" w:rsidP="006F3DBC">
      <w:pPr>
        <w:tabs>
          <w:tab w:val="left" w:pos="0"/>
        </w:tabs>
        <w:rPr>
          <w:rFonts w:cs="Arial"/>
          <w:szCs w:val="20"/>
        </w:rPr>
      </w:pPr>
      <w:r w:rsidRPr="002A5EF5">
        <w:rPr>
          <w:rFonts w:cs="Arial"/>
          <w:bCs/>
          <w:color w:val="000000"/>
          <w:kern w:val="28"/>
          <w:szCs w:val="20"/>
          <w:lang w:val="de-DE"/>
        </w:rPr>
        <w:t xml:space="preserve">Madde 5.3.7 </w:t>
      </w:r>
      <w:r w:rsidRPr="002A5EF5">
        <w:rPr>
          <w:rFonts w:cs="Arial"/>
          <w:bCs/>
          <w:color w:val="000000"/>
          <w:kern w:val="28"/>
          <w:szCs w:val="20"/>
        </w:rPr>
        <w:t>“Stafilokokal enterotoksin tayini</w:t>
      </w:r>
      <w:r>
        <w:rPr>
          <w:rFonts w:cs="Arial"/>
          <w:bCs/>
          <w:color w:val="000000"/>
          <w:kern w:val="28"/>
          <w:szCs w:val="20"/>
        </w:rPr>
        <w:t>” standard metninden çıkartılmıştır</w:t>
      </w:r>
      <w:r w:rsidR="00E37716">
        <w:rPr>
          <w:rFonts w:cs="Arial"/>
          <w:bCs/>
          <w:color w:val="000000"/>
          <w:kern w:val="28"/>
          <w:szCs w:val="20"/>
        </w:rPr>
        <w:t>.</w:t>
      </w:r>
    </w:p>
    <w:p w:rsidR="00F33C3D" w:rsidRDefault="00F33C3D" w:rsidP="006F3DBC">
      <w:pPr>
        <w:tabs>
          <w:tab w:val="left" w:pos="0"/>
        </w:tabs>
        <w:rPr>
          <w:rFonts w:cs="Arial"/>
          <w:szCs w:val="20"/>
        </w:rPr>
      </w:pPr>
    </w:p>
    <w:p w:rsidR="006F3DBC" w:rsidRPr="006F3DBC" w:rsidDel="00DA46AE" w:rsidRDefault="00F33C3D" w:rsidP="006F3DB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6F3DBC" w:rsidRPr="006F3DBC">
        <w:rPr>
          <w:rFonts w:cs="Arial"/>
          <w:szCs w:val="20"/>
        </w:rPr>
        <w:t>5.3.</w:t>
      </w:r>
      <w:r w:rsidR="006F3DBC">
        <w:rPr>
          <w:rFonts w:cs="Arial"/>
          <w:szCs w:val="20"/>
        </w:rPr>
        <w:t>8</w:t>
      </w:r>
      <w:r w:rsidR="006F3DBC" w:rsidRPr="006F3DBC">
        <w:rPr>
          <w:rFonts w:cs="Arial"/>
          <w:szCs w:val="20"/>
        </w:rPr>
        <w:t xml:space="preserve"> “E.coli tayini “ </w:t>
      </w:r>
      <w:r>
        <w:rPr>
          <w:rFonts w:cs="Arial"/>
          <w:szCs w:val="20"/>
        </w:rPr>
        <w:t>m</w:t>
      </w:r>
      <w:r w:rsidR="006F3DBC" w:rsidRPr="006F3DBC">
        <w:rPr>
          <w:rFonts w:cs="Arial"/>
          <w:szCs w:val="20"/>
        </w:rPr>
        <w:t>addesi, “5.3.</w:t>
      </w:r>
      <w:r>
        <w:rPr>
          <w:rFonts w:cs="Arial"/>
          <w:szCs w:val="20"/>
        </w:rPr>
        <w:t>7</w:t>
      </w:r>
      <w:r w:rsidR="006F3DBC" w:rsidRPr="006F3DB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“</w:t>
      </w:r>
      <w:r w:rsidRPr="00F33C3D">
        <w:rPr>
          <w:rFonts w:cs="Arial"/>
          <w:szCs w:val="20"/>
        </w:rPr>
        <w:t>E.coli tayini</w:t>
      </w:r>
      <w:r w:rsidR="006F3DBC" w:rsidRPr="006F3DBC">
        <w:rPr>
          <w:rFonts w:cs="Arial"/>
          <w:szCs w:val="20"/>
        </w:rPr>
        <w:t>“ olarak değiştirilmiştir.</w:t>
      </w:r>
      <w:r w:rsidR="006F3DBC" w:rsidRPr="006F3DBC" w:rsidDel="00897839">
        <w:rPr>
          <w:rFonts w:cs="Arial"/>
          <w:szCs w:val="20"/>
        </w:rPr>
        <w:t xml:space="preserve"> </w:t>
      </w:r>
    </w:p>
    <w:p w:rsidR="006F3DBC" w:rsidRDefault="006F3DBC" w:rsidP="002A5EF5">
      <w:pPr>
        <w:tabs>
          <w:tab w:val="left" w:pos="0"/>
        </w:tabs>
        <w:rPr>
          <w:rFonts w:cs="Arial"/>
          <w:szCs w:val="20"/>
        </w:rPr>
      </w:pPr>
    </w:p>
    <w:p w:rsidR="00F33C3D" w:rsidRDefault="00F33C3D">
      <w:pPr>
        <w:rPr>
          <w:szCs w:val="20"/>
        </w:rPr>
      </w:pPr>
      <w:r>
        <w:rPr>
          <w:rFonts w:cs="Arial"/>
          <w:szCs w:val="20"/>
        </w:rPr>
        <w:t xml:space="preserve">- </w:t>
      </w:r>
      <w:r w:rsidR="006F3DBC" w:rsidRPr="002A5EF5">
        <w:rPr>
          <w:rFonts w:cs="Arial"/>
          <w:szCs w:val="20"/>
        </w:rPr>
        <w:t>5.3.</w:t>
      </w:r>
      <w:r w:rsidR="006F3DBC">
        <w:rPr>
          <w:rFonts w:cs="Arial"/>
          <w:szCs w:val="20"/>
        </w:rPr>
        <w:t>9 “</w:t>
      </w:r>
      <w:r w:rsidR="006F3DBC" w:rsidRPr="002A5EF5">
        <w:rPr>
          <w:rFonts w:cs="Arial"/>
          <w:szCs w:val="20"/>
        </w:rPr>
        <w:t xml:space="preserve">L. Monocytogenes tayini“  </w:t>
      </w:r>
      <w:r>
        <w:rPr>
          <w:rFonts w:cs="Arial"/>
          <w:szCs w:val="20"/>
        </w:rPr>
        <w:t>m</w:t>
      </w:r>
      <w:r w:rsidR="006F3DBC" w:rsidRPr="002A5EF5">
        <w:rPr>
          <w:rFonts w:cs="Arial"/>
          <w:szCs w:val="20"/>
        </w:rPr>
        <w:t>addesi, “5.3.</w:t>
      </w:r>
      <w:r w:rsidR="006F3DBC">
        <w:rPr>
          <w:rFonts w:cs="Arial"/>
          <w:szCs w:val="20"/>
        </w:rPr>
        <w:t>8</w:t>
      </w:r>
      <w:r w:rsidR="006F3DBC" w:rsidRPr="002A5EF5">
        <w:rPr>
          <w:rFonts w:cs="Arial"/>
          <w:szCs w:val="20"/>
        </w:rPr>
        <w:t xml:space="preserve">  L. Monocytogenes tayini“ olarak değiştirilmiştir.</w:t>
      </w:r>
      <w:r w:rsidR="006F3DBC" w:rsidRPr="002A5EF5" w:rsidDel="00897839">
        <w:rPr>
          <w:rFonts w:cs="Arial"/>
          <w:szCs w:val="20"/>
        </w:rPr>
        <w:t xml:space="preserve"> </w:t>
      </w:r>
      <w:bookmarkStart w:id="1" w:name="_Toc11143965"/>
      <w:r>
        <w:rPr>
          <w:szCs w:val="20"/>
        </w:rPr>
        <w:t>“</w:t>
      </w:r>
      <w:r w:rsidRPr="00F33C3D">
        <w:rPr>
          <w:szCs w:val="20"/>
        </w:rPr>
        <w:t xml:space="preserve"> Nişasta aranması</w:t>
      </w:r>
      <w:r>
        <w:rPr>
          <w:szCs w:val="20"/>
        </w:rPr>
        <w:t xml:space="preserve">” maddesi 5.3.9 </w:t>
      </w:r>
      <w:r w:rsidRPr="00F33C3D">
        <w:rPr>
          <w:szCs w:val="20"/>
        </w:rPr>
        <w:t>“ Nişasta aranması”</w:t>
      </w:r>
      <w:r>
        <w:rPr>
          <w:szCs w:val="20"/>
        </w:rPr>
        <w:t xml:space="preserve"> </w:t>
      </w:r>
      <w:r w:rsidRPr="00F33C3D">
        <w:rPr>
          <w:szCs w:val="20"/>
        </w:rPr>
        <w:t>olarak değiştirilmiştir.</w:t>
      </w:r>
    </w:p>
    <w:p w:rsidR="00F33C3D" w:rsidRDefault="00F33C3D">
      <w:pPr>
        <w:rPr>
          <w:szCs w:val="20"/>
        </w:rPr>
      </w:pPr>
    </w:p>
    <w:p w:rsidR="00F33C3D" w:rsidRDefault="00F33C3D">
      <w:pPr>
        <w:rPr>
          <w:szCs w:val="20"/>
        </w:rPr>
      </w:pPr>
      <w:r>
        <w:rPr>
          <w:szCs w:val="20"/>
        </w:rPr>
        <w:t xml:space="preserve">- </w:t>
      </w:r>
      <w:r w:rsidRPr="00F33C3D">
        <w:rPr>
          <w:szCs w:val="20"/>
        </w:rPr>
        <w:t xml:space="preserve">5.3.11 </w:t>
      </w:r>
      <w:r>
        <w:rPr>
          <w:szCs w:val="20"/>
        </w:rPr>
        <w:t>“</w:t>
      </w:r>
      <w:r w:rsidRPr="00F33C3D">
        <w:rPr>
          <w:szCs w:val="20"/>
        </w:rPr>
        <w:t>Aflatoksin M1 tayini</w:t>
      </w:r>
      <w:r>
        <w:rPr>
          <w:szCs w:val="20"/>
        </w:rPr>
        <w:t xml:space="preserve">” </w:t>
      </w:r>
      <w:r w:rsidRPr="00F33C3D">
        <w:rPr>
          <w:szCs w:val="20"/>
        </w:rPr>
        <w:t>maddesi</w:t>
      </w:r>
      <w:r>
        <w:rPr>
          <w:szCs w:val="20"/>
        </w:rPr>
        <w:t xml:space="preserve"> </w:t>
      </w:r>
      <w:r w:rsidRPr="00F33C3D">
        <w:rPr>
          <w:szCs w:val="20"/>
        </w:rPr>
        <w:t>5.3.1</w:t>
      </w:r>
      <w:r>
        <w:rPr>
          <w:szCs w:val="20"/>
        </w:rPr>
        <w:t>0</w:t>
      </w:r>
      <w:r w:rsidRPr="00F33C3D">
        <w:rPr>
          <w:szCs w:val="20"/>
        </w:rPr>
        <w:t xml:space="preserve"> “Aflatoksin M1 tayini”</w:t>
      </w:r>
      <w:r>
        <w:rPr>
          <w:szCs w:val="20"/>
        </w:rPr>
        <w:t xml:space="preserve"> </w:t>
      </w:r>
      <w:r w:rsidRPr="00F33C3D">
        <w:rPr>
          <w:szCs w:val="20"/>
        </w:rPr>
        <w:t>olarak değiştirilmiştir.</w:t>
      </w:r>
    </w:p>
    <w:p w:rsidR="00F33C3D" w:rsidRDefault="00F33C3D">
      <w:pPr>
        <w:rPr>
          <w:szCs w:val="20"/>
        </w:rPr>
      </w:pPr>
    </w:p>
    <w:p w:rsidR="00F33C3D" w:rsidRDefault="00E37716">
      <w:pPr>
        <w:rPr>
          <w:szCs w:val="20"/>
        </w:rPr>
      </w:pPr>
      <w:r>
        <w:rPr>
          <w:szCs w:val="20"/>
        </w:rPr>
        <w:t xml:space="preserve">- </w:t>
      </w:r>
      <w:r w:rsidR="00F33C3D" w:rsidRPr="00F33C3D">
        <w:rPr>
          <w:szCs w:val="20"/>
        </w:rPr>
        <w:t xml:space="preserve">5.3.12 </w:t>
      </w:r>
      <w:r w:rsidR="00F33C3D">
        <w:rPr>
          <w:szCs w:val="20"/>
        </w:rPr>
        <w:t>“</w:t>
      </w:r>
      <w:r w:rsidR="00F33C3D" w:rsidRPr="00F33C3D">
        <w:rPr>
          <w:szCs w:val="20"/>
        </w:rPr>
        <w:t>Yağ cinsi tespiti</w:t>
      </w:r>
      <w:r w:rsidR="00F33C3D">
        <w:rPr>
          <w:szCs w:val="20"/>
        </w:rPr>
        <w:t>”</w:t>
      </w:r>
      <w:r w:rsidR="00F33C3D" w:rsidRPr="00F33C3D">
        <w:rPr>
          <w:szCs w:val="20"/>
        </w:rPr>
        <w:t xml:space="preserve"> </w:t>
      </w:r>
      <w:r w:rsidR="00F33C3D">
        <w:rPr>
          <w:szCs w:val="20"/>
        </w:rPr>
        <w:t xml:space="preserve"> </w:t>
      </w:r>
      <w:r w:rsidR="00F33C3D" w:rsidRPr="00F33C3D">
        <w:rPr>
          <w:szCs w:val="20"/>
        </w:rPr>
        <w:t>maddesi</w:t>
      </w:r>
      <w:r w:rsidR="00F33C3D">
        <w:rPr>
          <w:szCs w:val="20"/>
        </w:rPr>
        <w:t xml:space="preserve"> </w:t>
      </w:r>
      <w:r w:rsidR="00F33C3D" w:rsidRPr="00F33C3D">
        <w:rPr>
          <w:szCs w:val="20"/>
        </w:rPr>
        <w:t>5.3.1</w:t>
      </w:r>
      <w:r w:rsidR="00F33C3D">
        <w:rPr>
          <w:szCs w:val="20"/>
        </w:rPr>
        <w:t>1</w:t>
      </w:r>
      <w:r w:rsidR="00F33C3D" w:rsidRPr="00F33C3D">
        <w:rPr>
          <w:szCs w:val="20"/>
        </w:rPr>
        <w:t xml:space="preserve"> “Yağ cinsi tespiti”  olarak değiştirilmiştir.</w:t>
      </w:r>
    </w:p>
    <w:p w:rsidR="00F33C3D" w:rsidRDefault="00F33C3D">
      <w:pPr>
        <w:rPr>
          <w:szCs w:val="20"/>
        </w:rPr>
      </w:pPr>
    </w:p>
    <w:p w:rsidR="00F33C3D" w:rsidRDefault="00F33C3D">
      <w:pPr>
        <w:rPr>
          <w:szCs w:val="20"/>
        </w:rPr>
      </w:pPr>
      <w:r>
        <w:rPr>
          <w:szCs w:val="20"/>
        </w:rPr>
        <w:t xml:space="preserve">- </w:t>
      </w:r>
      <w:r w:rsidRPr="00F33C3D">
        <w:rPr>
          <w:szCs w:val="20"/>
        </w:rPr>
        <w:t xml:space="preserve">5.3.13 </w:t>
      </w:r>
      <w:r>
        <w:rPr>
          <w:szCs w:val="20"/>
        </w:rPr>
        <w:t>“</w:t>
      </w:r>
      <w:r w:rsidRPr="00F33C3D">
        <w:rPr>
          <w:szCs w:val="20"/>
        </w:rPr>
        <w:t>Natamisin tayini</w:t>
      </w:r>
      <w:r>
        <w:rPr>
          <w:szCs w:val="20"/>
        </w:rPr>
        <w:t xml:space="preserve">” </w:t>
      </w:r>
      <w:r w:rsidRPr="00F33C3D">
        <w:rPr>
          <w:szCs w:val="20"/>
        </w:rPr>
        <w:t>maddesi</w:t>
      </w:r>
      <w:r>
        <w:rPr>
          <w:szCs w:val="20"/>
        </w:rPr>
        <w:t xml:space="preserve"> </w:t>
      </w:r>
      <w:r w:rsidRPr="00F33C3D">
        <w:rPr>
          <w:szCs w:val="20"/>
        </w:rPr>
        <w:t>5.3.1</w:t>
      </w:r>
      <w:r>
        <w:rPr>
          <w:szCs w:val="20"/>
        </w:rPr>
        <w:t>2</w:t>
      </w:r>
      <w:r w:rsidRPr="00F33C3D">
        <w:rPr>
          <w:szCs w:val="20"/>
        </w:rPr>
        <w:t xml:space="preserve"> “Natamisin tayini”</w:t>
      </w:r>
      <w:r>
        <w:rPr>
          <w:szCs w:val="20"/>
        </w:rPr>
        <w:t xml:space="preserve"> </w:t>
      </w:r>
      <w:r w:rsidRPr="00F33C3D">
        <w:rPr>
          <w:szCs w:val="20"/>
        </w:rPr>
        <w:t>olarak değiştirilmiştir.</w:t>
      </w:r>
    </w:p>
    <w:p w:rsidR="00F33C3D" w:rsidRDefault="00F33C3D">
      <w:pPr>
        <w:rPr>
          <w:szCs w:val="20"/>
        </w:rPr>
      </w:pPr>
    </w:p>
    <w:p w:rsidR="00F33C3D" w:rsidRDefault="00F33C3D">
      <w:pPr>
        <w:rPr>
          <w:szCs w:val="20"/>
        </w:rPr>
      </w:pPr>
      <w:r w:rsidRPr="00F33C3D">
        <w:rPr>
          <w:szCs w:val="20"/>
        </w:rPr>
        <w:t xml:space="preserve">- 5.3.14 </w:t>
      </w:r>
      <w:r>
        <w:rPr>
          <w:szCs w:val="20"/>
        </w:rPr>
        <w:t>“</w:t>
      </w:r>
      <w:r w:rsidRPr="00F33C3D">
        <w:rPr>
          <w:szCs w:val="20"/>
        </w:rPr>
        <w:t>Benzoik ve sorbik asit muhtevası tayini</w:t>
      </w:r>
      <w:r>
        <w:rPr>
          <w:szCs w:val="20"/>
        </w:rPr>
        <w:t xml:space="preserve">” başlığı ile birlikte aşağıdaki biçimde değiştirilmiştir. </w:t>
      </w:r>
    </w:p>
    <w:p w:rsidR="00F33C3D" w:rsidRDefault="00F33C3D">
      <w:pPr>
        <w:rPr>
          <w:szCs w:val="20"/>
        </w:rPr>
      </w:pPr>
    </w:p>
    <w:p w:rsidR="00F33C3D" w:rsidRDefault="00F33C3D">
      <w:pPr>
        <w:rPr>
          <w:b/>
          <w:szCs w:val="20"/>
        </w:rPr>
      </w:pPr>
      <w:r w:rsidRPr="002A5EF5">
        <w:rPr>
          <w:b/>
          <w:szCs w:val="20"/>
        </w:rPr>
        <w:t>5.3.13 “Sorbik asit muhtevası tayini”</w:t>
      </w:r>
    </w:p>
    <w:p w:rsidR="00F33C3D" w:rsidRDefault="00F33C3D">
      <w:pPr>
        <w:rPr>
          <w:b/>
          <w:szCs w:val="20"/>
        </w:rPr>
      </w:pPr>
    </w:p>
    <w:p w:rsidR="00F33C3D" w:rsidRPr="002A5EF5" w:rsidRDefault="00F33C3D">
      <w:pPr>
        <w:rPr>
          <w:b/>
          <w:szCs w:val="20"/>
        </w:rPr>
      </w:pPr>
      <w:r>
        <w:rPr>
          <w:rFonts w:cs="Arial"/>
          <w:szCs w:val="20"/>
        </w:rPr>
        <w:t xml:space="preserve">Sorbik asit muhtevası, </w:t>
      </w:r>
      <w:r w:rsidRPr="00A605B9">
        <w:rPr>
          <w:rFonts w:cs="Arial"/>
          <w:szCs w:val="20"/>
        </w:rPr>
        <w:t xml:space="preserve">TS </w:t>
      </w:r>
      <w:r>
        <w:rPr>
          <w:rFonts w:cs="Arial"/>
          <w:szCs w:val="20"/>
        </w:rPr>
        <w:t xml:space="preserve">ISO 9231’e </w:t>
      </w:r>
      <w:r>
        <w:t>göre yapılır ve sonucun Madde 4.2.2’ye uygun olup olmadığına bakılır.</w:t>
      </w:r>
    </w:p>
    <w:p w:rsidR="00F33C3D" w:rsidRDefault="00F33C3D">
      <w:pPr>
        <w:rPr>
          <w:szCs w:val="20"/>
        </w:rPr>
      </w:pPr>
    </w:p>
    <w:bookmarkEnd w:id="1"/>
    <w:p w:rsidR="00277FB9" w:rsidRDefault="00277FB9"/>
    <w:sectPr w:rsidR="00277FB9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DF4" w:rsidRDefault="00F26DF4">
      <w:r>
        <w:separator/>
      </w:r>
    </w:p>
  </w:endnote>
  <w:endnote w:type="continuationSeparator" w:id="0">
    <w:p w:rsidR="00F26DF4" w:rsidRDefault="00F2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DF4" w:rsidRDefault="00F26DF4">
      <w:r>
        <w:separator/>
      </w:r>
    </w:p>
  </w:footnote>
  <w:footnote w:type="continuationSeparator" w:id="0">
    <w:p w:rsidR="00F26DF4" w:rsidRDefault="00F26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2B078B8"/>
    <w:multiLevelType w:val="hybridMultilevel"/>
    <w:tmpl w:val="75D859BC"/>
    <w:lvl w:ilvl="0" w:tplc="085604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Rv1Cu2Hx8Xd9XSRP/VhLq0/9gntc8wVUDuxs/g0cyMM2F0wqNfQUUdVfLQhhHGCawr8ZyLc5BkWFkFEE/yOw5g==" w:salt="GxPSD8h942X8vC4oQHBT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61296"/>
    <w:rsid w:val="000646BA"/>
    <w:rsid w:val="000772B7"/>
    <w:rsid w:val="00084F05"/>
    <w:rsid w:val="000932C0"/>
    <w:rsid w:val="0009617D"/>
    <w:rsid w:val="000B40A5"/>
    <w:rsid w:val="000B4147"/>
    <w:rsid w:val="000B6564"/>
    <w:rsid w:val="000C5429"/>
    <w:rsid w:val="000D7ED5"/>
    <w:rsid w:val="000E55FE"/>
    <w:rsid w:val="000F121D"/>
    <w:rsid w:val="000F405A"/>
    <w:rsid w:val="00111ECA"/>
    <w:rsid w:val="00121534"/>
    <w:rsid w:val="00131690"/>
    <w:rsid w:val="00134E30"/>
    <w:rsid w:val="00136773"/>
    <w:rsid w:val="001415E7"/>
    <w:rsid w:val="00141D09"/>
    <w:rsid w:val="00187776"/>
    <w:rsid w:val="00193892"/>
    <w:rsid w:val="001A61EE"/>
    <w:rsid w:val="001B493D"/>
    <w:rsid w:val="001C35B3"/>
    <w:rsid w:val="001D7B36"/>
    <w:rsid w:val="002006D9"/>
    <w:rsid w:val="002017F9"/>
    <w:rsid w:val="0021617A"/>
    <w:rsid w:val="00232A82"/>
    <w:rsid w:val="002358E8"/>
    <w:rsid w:val="00260F8F"/>
    <w:rsid w:val="002727EE"/>
    <w:rsid w:val="00277FB9"/>
    <w:rsid w:val="002A5EF5"/>
    <w:rsid w:val="002B330D"/>
    <w:rsid w:val="002D0A0A"/>
    <w:rsid w:val="002E42F8"/>
    <w:rsid w:val="002F0F0E"/>
    <w:rsid w:val="002F1443"/>
    <w:rsid w:val="003001AD"/>
    <w:rsid w:val="00304F4A"/>
    <w:rsid w:val="0035585A"/>
    <w:rsid w:val="00364DF8"/>
    <w:rsid w:val="00365F0B"/>
    <w:rsid w:val="00366DE6"/>
    <w:rsid w:val="00373425"/>
    <w:rsid w:val="003954B1"/>
    <w:rsid w:val="00397CA2"/>
    <w:rsid w:val="003A0AD4"/>
    <w:rsid w:val="003C3EE6"/>
    <w:rsid w:val="003D44F7"/>
    <w:rsid w:val="003F34DA"/>
    <w:rsid w:val="00420295"/>
    <w:rsid w:val="004479B2"/>
    <w:rsid w:val="00460033"/>
    <w:rsid w:val="00461925"/>
    <w:rsid w:val="004864E5"/>
    <w:rsid w:val="00493573"/>
    <w:rsid w:val="004D7A9C"/>
    <w:rsid w:val="004E643E"/>
    <w:rsid w:val="004F23BF"/>
    <w:rsid w:val="004F3131"/>
    <w:rsid w:val="00510F18"/>
    <w:rsid w:val="00524763"/>
    <w:rsid w:val="00543E2A"/>
    <w:rsid w:val="00543FB1"/>
    <w:rsid w:val="00564902"/>
    <w:rsid w:val="00582DA8"/>
    <w:rsid w:val="00584E1F"/>
    <w:rsid w:val="00586BDC"/>
    <w:rsid w:val="005A2503"/>
    <w:rsid w:val="005A38AE"/>
    <w:rsid w:val="005B3047"/>
    <w:rsid w:val="005C1EE5"/>
    <w:rsid w:val="005D39D8"/>
    <w:rsid w:val="005F63F5"/>
    <w:rsid w:val="005F7591"/>
    <w:rsid w:val="0061364E"/>
    <w:rsid w:val="00630783"/>
    <w:rsid w:val="00630927"/>
    <w:rsid w:val="0064090F"/>
    <w:rsid w:val="006542FC"/>
    <w:rsid w:val="006669A8"/>
    <w:rsid w:val="00673024"/>
    <w:rsid w:val="00690553"/>
    <w:rsid w:val="006B0763"/>
    <w:rsid w:val="006C0C11"/>
    <w:rsid w:val="006C30BA"/>
    <w:rsid w:val="006D743F"/>
    <w:rsid w:val="006F3DBC"/>
    <w:rsid w:val="00701216"/>
    <w:rsid w:val="007027A2"/>
    <w:rsid w:val="00712715"/>
    <w:rsid w:val="00726F26"/>
    <w:rsid w:val="00741492"/>
    <w:rsid w:val="00745105"/>
    <w:rsid w:val="00752D3B"/>
    <w:rsid w:val="00755285"/>
    <w:rsid w:val="00764EF0"/>
    <w:rsid w:val="00772BE6"/>
    <w:rsid w:val="007836D3"/>
    <w:rsid w:val="007A70F4"/>
    <w:rsid w:val="007B642E"/>
    <w:rsid w:val="007D0D53"/>
    <w:rsid w:val="007D1903"/>
    <w:rsid w:val="007D1BB8"/>
    <w:rsid w:val="0082557F"/>
    <w:rsid w:val="008272AD"/>
    <w:rsid w:val="00834B82"/>
    <w:rsid w:val="00834DAE"/>
    <w:rsid w:val="00897839"/>
    <w:rsid w:val="008A2531"/>
    <w:rsid w:val="008B355A"/>
    <w:rsid w:val="008B7FD4"/>
    <w:rsid w:val="008C54AC"/>
    <w:rsid w:val="008D075A"/>
    <w:rsid w:val="008D4EDC"/>
    <w:rsid w:val="008E3331"/>
    <w:rsid w:val="008F6321"/>
    <w:rsid w:val="008F72AD"/>
    <w:rsid w:val="00901B60"/>
    <w:rsid w:val="009045EB"/>
    <w:rsid w:val="00926EAA"/>
    <w:rsid w:val="009310BF"/>
    <w:rsid w:val="00941F64"/>
    <w:rsid w:val="00956F56"/>
    <w:rsid w:val="00961713"/>
    <w:rsid w:val="00966B88"/>
    <w:rsid w:val="00992ED8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6657"/>
    <w:rsid w:val="00A605B9"/>
    <w:rsid w:val="00A64B1C"/>
    <w:rsid w:val="00A6681F"/>
    <w:rsid w:val="00A7147E"/>
    <w:rsid w:val="00A74365"/>
    <w:rsid w:val="00A75578"/>
    <w:rsid w:val="00A81DF6"/>
    <w:rsid w:val="00AB0D5C"/>
    <w:rsid w:val="00AB4BB8"/>
    <w:rsid w:val="00AC6C95"/>
    <w:rsid w:val="00B21939"/>
    <w:rsid w:val="00B220E2"/>
    <w:rsid w:val="00B264B3"/>
    <w:rsid w:val="00B37AF7"/>
    <w:rsid w:val="00B5315A"/>
    <w:rsid w:val="00B65815"/>
    <w:rsid w:val="00B81A3B"/>
    <w:rsid w:val="00B9562D"/>
    <w:rsid w:val="00B9763F"/>
    <w:rsid w:val="00BA0238"/>
    <w:rsid w:val="00BC41E3"/>
    <w:rsid w:val="00BC47DF"/>
    <w:rsid w:val="00BE036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8127A"/>
    <w:rsid w:val="00C90D73"/>
    <w:rsid w:val="00C91B99"/>
    <w:rsid w:val="00CB4269"/>
    <w:rsid w:val="00CB4934"/>
    <w:rsid w:val="00CC3CA9"/>
    <w:rsid w:val="00CD0C9A"/>
    <w:rsid w:val="00CD2C07"/>
    <w:rsid w:val="00CF3570"/>
    <w:rsid w:val="00CF38C8"/>
    <w:rsid w:val="00CF57CF"/>
    <w:rsid w:val="00D05385"/>
    <w:rsid w:val="00D17D7C"/>
    <w:rsid w:val="00D277E1"/>
    <w:rsid w:val="00D364CB"/>
    <w:rsid w:val="00D41C76"/>
    <w:rsid w:val="00D75D3B"/>
    <w:rsid w:val="00D76403"/>
    <w:rsid w:val="00D764E2"/>
    <w:rsid w:val="00DA46AE"/>
    <w:rsid w:val="00DC38D3"/>
    <w:rsid w:val="00E0031E"/>
    <w:rsid w:val="00E021CE"/>
    <w:rsid w:val="00E042E2"/>
    <w:rsid w:val="00E20A88"/>
    <w:rsid w:val="00E26BA0"/>
    <w:rsid w:val="00E342A8"/>
    <w:rsid w:val="00E37716"/>
    <w:rsid w:val="00E405A9"/>
    <w:rsid w:val="00E51BB3"/>
    <w:rsid w:val="00E72167"/>
    <w:rsid w:val="00E75176"/>
    <w:rsid w:val="00E93969"/>
    <w:rsid w:val="00E95E1D"/>
    <w:rsid w:val="00EA79DD"/>
    <w:rsid w:val="00EF1C20"/>
    <w:rsid w:val="00F04158"/>
    <w:rsid w:val="00F06EF5"/>
    <w:rsid w:val="00F17866"/>
    <w:rsid w:val="00F227AD"/>
    <w:rsid w:val="00F24D0F"/>
    <w:rsid w:val="00F25169"/>
    <w:rsid w:val="00F26DF4"/>
    <w:rsid w:val="00F33C3D"/>
    <w:rsid w:val="00F57AA3"/>
    <w:rsid w:val="00F6680E"/>
    <w:rsid w:val="00F80A60"/>
    <w:rsid w:val="00F87F3B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285A8EC-F99A-4B66-A818-90A696F8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892"/>
    <w:pPr>
      <w:jc w:val="both"/>
    </w:pPr>
    <w:rPr>
      <w:rFonts w:ascii="Arial" w:hAnsi="Arial"/>
      <w:noProof/>
      <w:szCs w:val="24"/>
    </w:rPr>
  </w:style>
  <w:style w:type="paragraph" w:styleId="Balk1">
    <w:name w:val="heading 1"/>
    <w:aliases w:val="1 Heading,baslık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1 Heading Char,bas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304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2016-03-15T18:06:00Z</cp:lastPrinted>
  <dcterms:created xsi:type="dcterms:W3CDTF">2016-03-18T11:25:00Z</dcterms:created>
  <dcterms:modified xsi:type="dcterms:W3CDTF">2016-03-18T11:38:00Z</dcterms:modified>
</cp:coreProperties>
</file>